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F" w:rsidRPr="00C95AC7" w:rsidRDefault="00C95AC7" w:rsidP="00C95AC7">
      <w:pPr>
        <w:jc w:val="center"/>
        <w:rPr>
          <w:b/>
          <w:i/>
        </w:rPr>
      </w:pPr>
      <w:r>
        <w:rPr>
          <w:b/>
          <w:i/>
        </w:rPr>
        <w:t>2017</w:t>
      </w:r>
      <w:r w:rsidR="00645A6F" w:rsidRPr="00EA4335">
        <w:rPr>
          <w:b/>
          <w:i/>
        </w:rPr>
        <w:t>/</w:t>
      </w:r>
      <w:r>
        <w:rPr>
          <w:b/>
          <w:i/>
        </w:rPr>
        <w:t xml:space="preserve">2018 EĞİTİM –ÖĞRETİM YILI </w:t>
      </w:r>
      <w:r w:rsidR="000E4CEE">
        <w:rPr>
          <w:b/>
          <w:i/>
        </w:rPr>
        <w:t>…</w:t>
      </w:r>
      <w:r>
        <w:rPr>
          <w:b/>
          <w:i/>
        </w:rPr>
        <w:t xml:space="preserve"> MESLEKİ VE TEKNİK ANADOLU LİSESİ MATEMATİK DERSİ</w:t>
      </w:r>
    </w:p>
    <w:p w:rsidR="00645A6F" w:rsidRPr="006C2BEA" w:rsidRDefault="00645A6F" w:rsidP="00645A6F">
      <w:pPr>
        <w:jc w:val="center"/>
        <w:rPr>
          <w:color w:val="000000"/>
        </w:rPr>
      </w:pPr>
      <w:r w:rsidRPr="006C2BEA">
        <w:rPr>
          <w:b/>
          <w:i/>
          <w:color w:val="000000"/>
        </w:rPr>
        <w:t>YENİ ÖĞRETİM PROGRAMI GÖRÜŞ RAPORUDUR.</w:t>
      </w:r>
    </w:p>
    <w:p w:rsidR="00602828" w:rsidRDefault="00602828" w:rsidP="00704905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4690"/>
        <w:gridCol w:w="3921"/>
      </w:tblGrid>
      <w:tr w:rsidR="00A61FEC" w:rsidRPr="00FB3A5B" w:rsidTr="00003C34">
        <w:trPr>
          <w:trHeight w:val="1164"/>
        </w:trPr>
        <w:tc>
          <w:tcPr>
            <w:tcW w:w="1705" w:type="dxa"/>
          </w:tcPr>
          <w:p w:rsidR="00F34563" w:rsidRDefault="00F34563" w:rsidP="00FB3A5B">
            <w:pPr>
              <w:jc w:val="center"/>
              <w:rPr>
                <w:b/>
                <w:sz w:val="18"/>
                <w:szCs w:val="18"/>
              </w:rPr>
            </w:pPr>
          </w:p>
          <w:p w:rsidR="00A61FEC" w:rsidRPr="00F34563" w:rsidRDefault="00F34563" w:rsidP="00FB3A5B">
            <w:pPr>
              <w:jc w:val="center"/>
              <w:rPr>
                <w:b/>
                <w:sz w:val="18"/>
                <w:szCs w:val="18"/>
              </w:rPr>
            </w:pPr>
            <w:r w:rsidRPr="00F34563">
              <w:rPr>
                <w:b/>
                <w:sz w:val="18"/>
                <w:szCs w:val="18"/>
              </w:rPr>
              <w:t>ORTAÖĞRETİM MATEMATİK</w:t>
            </w:r>
            <w:r>
              <w:rPr>
                <w:b/>
                <w:sz w:val="18"/>
                <w:szCs w:val="18"/>
              </w:rPr>
              <w:t xml:space="preserve"> PROGRAMI</w:t>
            </w:r>
          </w:p>
        </w:tc>
        <w:tc>
          <w:tcPr>
            <w:tcW w:w="4690" w:type="dxa"/>
          </w:tcPr>
          <w:p w:rsidR="00F34563" w:rsidRDefault="00F34563" w:rsidP="00FB3A5B">
            <w:pPr>
              <w:jc w:val="center"/>
              <w:rPr>
                <w:b/>
              </w:rPr>
            </w:pPr>
          </w:p>
          <w:p w:rsidR="00A61FEC" w:rsidRPr="00FB3A5B" w:rsidRDefault="00527950" w:rsidP="00FB3A5B">
            <w:pPr>
              <w:jc w:val="center"/>
              <w:rPr>
                <w:b/>
              </w:rPr>
            </w:pPr>
            <w:r w:rsidRPr="00FB3A5B">
              <w:rPr>
                <w:b/>
              </w:rPr>
              <w:t>TESPİT</w:t>
            </w:r>
          </w:p>
        </w:tc>
        <w:tc>
          <w:tcPr>
            <w:tcW w:w="3921" w:type="dxa"/>
          </w:tcPr>
          <w:p w:rsidR="00F34563" w:rsidRDefault="00F34563" w:rsidP="00FB3A5B">
            <w:pPr>
              <w:jc w:val="center"/>
              <w:rPr>
                <w:b/>
              </w:rPr>
            </w:pPr>
          </w:p>
          <w:p w:rsidR="00003C34" w:rsidRDefault="00527950" w:rsidP="00FB3A5B">
            <w:pPr>
              <w:jc w:val="center"/>
              <w:rPr>
                <w:b/>
              </w:rPr>
            </w:pPr>
            <w:r w:rsidRPr="00FB3A5B">
              <w:rPr>
                <w:b/>
              </w:rPr>
              <w:t>ÖNERİ</w:t>
            </w:r>
          </w:p>
          <w:p w:rsidR="00003C34" w:rsidRDefault="00003C34" w:rsidP="00003C34"/>
          <w:p w:rsidR="00A61FEC" w:rsidRPr="00003C34" w:rsidRDefault="00A61FEC" w:rsidP="00003C34">
            <w:pPr>
              <w:jc w:val="right"/>
            </w:pPr>
          </w:p>
        </w:tc>
      </w:tr>
      <w:tr w:rsidR="00F34563" w:rsidRPr="00FB3A5B" w:rsidTr="00003C34">
        <w:trPr>
          <w:cantSplit/>
          <w:trHeight w:val="7077"/>
        </w:trPr>
        <w:tc>
          <w:tcPr>
            <w:tcW w:w="1705" w:type="dxa"/>
            <w:vMerge w:val="restart"/>
            <w:vAlign w:val="center"/>
          </w:tcPr>
          <w:p w:rsidR="00F34563" w:rsidRDefault="00F34563" w:rsidP="00CB5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9.SINIF MATEMATİK</w:t>
            </w:r>
          </w:p>
          <w:p w:rsidR="00F34563" w:rsidRPr="00FB3A5B" w:rsidRDefault="00F34563" w:rsidP="00CB5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 SAAT)</w:t>
            </w:r>
          </w:p>
        </w:tc>
        <w:tc>
          <w:tcPr>
            <w:tcW w:w="4690" w:type="dxa"/>
            <w:vMerge w:val="restart"/>
          </w:tcPr>
          <w:p w:rsidR="00F34563" w:rsidRPr="00003C34" w:rsidRDefault="00F34563" w:rsidP="00645A6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</w:rPr>
            </w:pPr>
          </w:p>
          <w:p w:rsidR="00F34563" w:rsidRPr="00003C34" w:rsidRDefault="00C95AC7" w:rsidP="00645A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Önermeler konusunun konu başlangıcını oluşturması uygun olmuştur. </w:t>
            </w:r>
          </w:p>
          <w:p w:rsidR="00F34563" w:rsidRPr="00003C34" w:rsidRDefault="00F34563" w:rsidP="00645A6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</w:rPr>
            </w:pPr>
          </w:p>
          <w:p w:rsidR="00F34563" w:rsidRPr="00003C34" w:rsidRDefault="00C95AC7" w:rsidP="00645A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 Kümeler konusunun 2. sıray</w:t>
            </w:r>
            <w:r w:rsidR="00F34563" w:rsidRPr="00003C34">
              <w:rPr>
                <w:rFonts w:ascii="Calibri" w:hAnsi="Calibri" w:cs="Calibri"/>
                <w:iCs/>
              </w:rPr>
              <w:t>a alınması daha olumlu olmuştur.</w:t>
            </w:r>
          </w:p>
          <w:p w:rsidR="00F34563" w:rsidRPr="00003C34" w:rsidRDefault="00F34563" w:rsidP="00645A6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</w:rPr>
            </w:pPr>
          </w:p>
          <w:p w:rsidR="00F34563" w:rsidRPr="00003C34" w:rsidRDefault="00F34563" w:rsidP="00645A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 w:rsidRPr="00003C34">
              <w:rPr>
                <w:rFonts w:ascii="Calibri" w:hAnsi="Calibri" w:cs="Calibri"/>
                <w:iCs/>
              </w:rPr>
              <w:t>Fonksiyon konusu 2013 öğretim programında Üçgenler konusundan önce verilmekteydi.Bu durum somuttan soyuta eğitsel yararlılık</w:t>
            </w:r>
            <w:r w:rsidR="00195D4D">
              <w:rPr>
                <w:rFonts w:ascii="Calibri" w:hAnsi="Calibri" w:cs="Calibri"/>
                <w:iCs/>
              </w:rPr>
              <w:t xml:space="preserve"> ilkesiyle</w:t>
            </w:r>
            <w:r w:rsidRPr="00003C34">
              <w:rPr>
                <w:rFonts w:ascii="Calibri" w:hAnsi="Calibri" w:cs="Calibri"/>
                <w:iCs/>
              </w:rPr>
              <w:t xml:space="preserve"> bir takım kopukluk</w:t>
            </w:r>
            <w:r w:rsidR="00195D4D">
              <w:rPr>
                <w:rFonts w:ascii="Calibri" w:hAnsi="Calibri" w:cs="Calibri"/>
                <w:iCs/>
              </w:rPr>
              <w:t>lar</w:t>
            </w:r>
            <w:r w:rsidRPr="00003C34">
              <w:rPr>
                <w:rFonts w:ascii="Calibri" w:hAnsi="Calibri" w:cs="Calibri"/>
                <w:iCs/>
              </w:rPr>
              <w:t xml:space="preserve"> oluşturmaktaydı.Fonksiyon gibi Üçgenler konusundan daha fazla soyut kavramsal Cebirsel ifadeler</w:t>
            </w:r>
            <w:r w:rsidR="00195D4D">
              <w:rPr>
                <w:rFonts w:ascii="Calibri" w:hAnsi="Calibri" w:cs="Calibri"/>
                <w:iCs/>
              </w:rPr>
              <w:t xml:space="preserve"> içeren</w:t>
            </w:r>
            <w:r w:rsidRPr="00003C34">
              <w:rPr>
                <w:rFonts w:ascii="Calibri" w:hAnsi="Calibri" w:cs="Calibri"/>
                <w:iCs/>
              </w:rPr>
              <w:t xml:space="preserve"> bir konunun Üçgenlerden sonraya alınması gayet olumlu bir adımdır.</w:t>
            </w:r>
          </w:p>
          <w:p w:rsidR="00F34563" w:rsidRPr="00003C34" w:rsidRDefault="00F34563" w:rsidP="00645A6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</w:rPr>
            </w:pPr>
          </w:p>
          <w:p w:rsidR="00F34563" w:rsidRPr="00003C34" w:rsidRDefault="00F34563" w:rsidP="00645A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 w:rsidRPr="00003C34">
              <w:rPr>
                <w:rFonts w:ascii="Calibri" w:hAnsi="Calibri" w:cs="Calibri"/>
                <w:iCs/>
              </w:rPr>
              <w:t>Son iki ünite olan Fonksiyonlar ve Basit olayların olasılıkları konuları 9.sınıfın en soyut konular olarak belli bir olgunluk seviyesine erişmiş öğrenci için kavrama olarak daha yüksek ihtimal oluşturmaktadır.</w:t>
            </w:r>
          </w:p>
          <w:p w:rsidR="00003C34" w:rsidRPr="00003C34" w:rsidRDefault="00003C34" w:rsidP="00003C3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</w:rPr>
            </w:pPr>
          </w:p>
          <w:p w:rsidR="00F34563" w:rsidRPr="00645A6F" w:rsidRDefault="00F34563" w:rsidP="00C95AC7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3921" w:type="dxa"/>
          </w:tcPr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  <w:r w:rsidRPr="00EB0434">
              <w:rPr>
                <w:rFonts w:ascii="Helvetica-Bold" w:hAnsi="Helvetica-Bold" w:cs="Helvetica-Bold"/>
                <w:bCs/>
                <w:sz w:val="20"/>
                <w:szCs w:val="20"/>
              </w:rPr>
              <w:t xml:space="preserve">. </w:t>
            </w: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Pr="00F34563" w:rsidRDefault="00F34563" w:rsidP="00A7735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  <w:p w:rsidR="00F34563" w:rsidRDefault="00003C34" w:rsidP="00A7735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195D4D">
              <w:rPr>
                <w:rFonts w:ascii="Calibri" w:hAnsi="Calibri" w:cs="Calibri"/>
                <w:bCs/>
              </w:rPr>
              <w:t xml:space="preserve">      </w:t>
            </w:r>
            <w:r w:rsidR="00C95AC7">
              <w:rPr>
                <w:rFonts w:ascii="Calibri" w:hAnsi="Calibri" w:cs="Calibri"/>
                <w:bCs/>
              </w:rPr>
              <w:t>Yan tarafta belirtilen konu ağırlıkları her lise türü  için ayrı ayrı değerlendirilmeli ve ders kitaplarıda öğrenci seviyelerine göre çeşitlendirilmelidir.</w:t>
            </w:r>
          </w:p>
          <w:p w:rsidR="00C95AC7" w:rsidRPr="00195D4D" w:rsidRDefault="00C95AC7" w:rsidP="00A7735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Meslek lisesi için hazırlanan kitaplar  fen ve Anadolu liseleri için hazırlanan kitaplardan daha hafif seviyede olmalıdır.</w:t>
            </w:r>
          </w:p>
          <w:p w:rsidR="00F34563" w:rsidRP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</w:rPr>
            </w:pPr>
          </w:p>
          <w:p w:rsidR="00F34563" w:rsidRP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F34563" w:rsidRPr="00EB0434" w:rsidRDefault="00F34563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003C34" w:rsidRPr="00FB3A5B" w:rsidTr="00003C34">
        <w:trPr>
          <w:cantSplit/>
          <w:trHeight w:val="3247"/>
        </w:trPr>
        <w:tc>
          <w:tcPr>
            <w:tcW w:w="1705" w:type="dxa"/>
            <w:vMerge/>
            <w:vAlign w:val="center"/>
          </w:tcPr>
          <w:p w:rsidR="00003C34" w:rsidRDefault="00003C34" w:rsidP="00CB5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0" w:type="dxa"/>
            <w:vMerge/>
          </w:tcPr>
          <w:p w:rsidR="00003C34" w:rsidRPr="00003C34" w:rsidRDefault="00003C34" w:rsidP="00645A6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3921" w:type="dxa"/>
          </w:tcPr>
          <w:p w:rsidR="00003C34" w:rsidRDefault="00003C34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003C34" w:rsidRDefault="00003C34" w:rsidP="00A7735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003C34" w:rsidRDefault="00003C34" w:rsidP="00003C3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  <w:p w:rsidR="00003C34" w:rsidRPr="00EB0434" w:rsidRDefault="00003C34" w:rsidP="00003C3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  <w:szCs w:val="20"/>
              </w:rPr>
            </w:pPr>
          </w:p>
        </w:tc>
      </w:tr>
      <w:tr w:rsidR="00F34563" w:rsidRPr="00FB3A5B" w:rsidTr="00003C34">
        <w:trPr>
          <w:cantSplit/>
          <w:trHeight w:val="8082"/>
        </w:trPr>
        <w:tc>
          <w:tcPr>
            <w:tcW w:w="1705" w:type="dxa"/>
            <w:vMerge w:val="restart"/>
            <w:vAlign w:val="center"/>
          </w:tcPr>
          <w:p w:rsidR="00F34563" w:rsidRDefault="00F34563" w:rsidP="00F345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10.SINIF MATEMATİK</w:t>
            </w:r>
          </w:p>
          <w:p w:rsidR="00F34563" w:rsidRPr="00CB5B6A" w:rsidRDefault="00F34563" w:rsidP="00F34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(6 SAAT)</w:t>
            </w:r>
          </w:p>
        </w:tc>
        <w:tc>
          <w:tcPr>
            <w:tcW w:w="4690" w:type="dxa"/>
            <w:vMerge w:val="restart"/>
          </w:tcPr>
          <w:p w:rsidR="00F34563" w:rsidRDefault="00F34563" w:rsidP="00F34563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5C7B03" w:rsidRDefault="005C7B03" w:rsidP="00F3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Permütasyon kombinasyon </w:t>
            </w:r>
            <w:r w:rsidR="004C52EB">
              <w:rPr>
                <w:rFonts w:ascii="Calibri" w:hAnsi="Calibri" w:cs="Calibri"/>
                <w:iCs/>
              </w:rPr>
              <w:t>konusu yeterli seviyede işlenmiş ve öğrenci kazanımlarına uygun olarak hazırlanmıştır</w:t>
            </w:r>
          </w:p>
          <w:p w:rsidR="005C7B03" w:rsidRDefault="005C7B03" w:rsidP="005C7B0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iCs/>
              </w:rPr>
            </w:pPr>
          </w:p>
          <w:p w:rsidR="00F34563" w:rsidRPr="00F34563" w:rsidRDefault="00F34563" w:rsidP="00F3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 w:rsidRPr="00F34563">
              <w:rPr>
                <w:rFonts w:ascii="Calibri" w:hAnsi="Calibri" w:cs="Calibri"/>
                <w:iCs/>
              </w:rPr>
              <w:t>9.sınıfın son 2 ünitesinden biri olan Fonksiyon Kavramı ve Gösterimi kazanımını edinen öğrenciler için artık 10.sınıf 2.ünite olan İki fonksiyonun Bileşkesi ve Bir fonksiyonun tersi konusunu kavramak daha kolay olacaktır.</w:t>
            </w:r>
          </w:p>
          <w:p w:rsidR="00F34563" w:rsidRPr="00F34563" w:rsidRDefault="00F34563" w:rsidP="00F34563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</w:rPr>
            </w:pPr>
          </w:p>
          <w:p w:rsidR="00F34563" w:rsidRPr="005C7B03" w:rsidRDefault="005C7B03" w:rsidP="00F3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alibri" w:hAnsi="Calibri" w:cs="Calibri"/>
                <w:iCs/>
              </w:rPr>
              <w:t>Doğrunun analitiği</w:t>
            </w:r>
            <w:r w:rsidR="004C52EB">
              <w:rPr>
                <w:rFonts w:ascii="Calibri" w:hAnsi="Calibri" w:cs="Calibri"/>
                <w:iCs/>
              </w:rPr>
              <w:t xml:space="preserve"> ünitesi uygunbiçimde anlatılmış ancak meslek lisesi seviyesine göre ağır kalmaktadır.</w:t>
            </w:r>
          </w:p>
          <w:p w:rsidR="005C7B03" w:rsidRDefault="005C7B03" w:rsidP="005C7B03">
            <w:pPr>
              <w:pStyle w:val="ListeParagraf"/>
              <w:rPr>
                <w:b/>
              </w:rPr>
            </w:pPr>
          </w:p>
          <w:p w:rsidR="005C7B03" w:rsidRPr="005C7B03" w:rsidRDefault="005C7B03" w:rsidP="00F3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C7B03">
              <w:t>Çokgenler Dörtgenler</w:t>
            </w:r>
            <w:r w:rsidR="004C52EB">
              <w:t xml:space="preserve"> öğrencilerin anlamasına uygun olarak hazırlanmıştır. Seviyesi yeterlidir.</w:t>
            </w:r>
          </w:p>
          <w:p w:rsidR="005C7B03" w:rsidRPr="005C7B03" w:rsidRDefault="005C7B03" w:rsidP="005C7B03">
            <w:pPr>
              <w:pStyle w:val="ListeParagraf"/>
            </w:pPr>
          </w:p>
          <w:p w:rsidR="005C7B03" w:rsidRPr="005C7B03" w:rsidRDefault="005C7B03" w:rsidP="00F3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C7B03">
              <w:t>2.derecede birbilinmeyenli denklemler</w:t>
            </w:r>
            <w:r w:rsidR="004C52EB">
              <w:t xml:space="preserve"> konusu kitabı meslek liselerine göre biraz ağır kalmakta ve öğrencilerin bazı soruları anlamarı çok zor olmaktadır.</w:t>
            </w:r>
          </w:p>
          <w:p w:rsidR="00F34563" w:rsidRPr="00F34563" w:rsidRDefault="00F34563" w:rsidP="00F34563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  <w:p w:rsidR="00F34563" w:rsidRPr="00F34563" w:rsidRDefault="00F34563" w:rsidP="00F3456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4563" w:rsidRDefault="00F34563" w:rsidP="00F34563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F34563" w:rsidRPr="00F34563" w:rsidRDefault="00F34563" w:rsidP="00F3456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34563" w:rsidRPr="00F34563" w:rsidRDefault="00F34563" w:rsidP="00F34563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</w:tc>
        <w:tc>
          <w:tcPr>
            <w:tcW w:w="3921" w:type="dxa"/>
          </w:tcPr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003C34" w:rsidP="00CA5B78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</w:t>
            </w:r>
          </w:p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F34563" w:rsidRDefault="00F34563" w:rsidP="009B501D"/>
          <w:p w:rsidR="00CA5B78" w:rsidRDefault="00CA5B78" w:rsidP="00CA5B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195D4D">
              <w:rPr>
                <w:rFonts w:ascii="Calibri" w:hAnsi="Calibri" w:cs="Calibri"/>
                <w:bCs/>
              </w:rPr>
              <w:t xml:space="preserve">      </w:t>
            </w:r>
            <w:r>
              <w:rPr>
                <w:rFonts w:ascii="Calibri" w:hAnsi="Calibri" w:cs="Calibri"/>
                <w:bCs/>
              </w:rPr>
              <w:t>Yan tarafta belirtilen konu ağırlıkları her lise türü  için ayrı ayrı değerlendirilmeli ve ders kitaplarıda öğrenci seviyelerine göre çeşitlendirilmelidir.</w:t>
            </w:r>
          </w:p>
          <w:p w:rsidR="00CA5B78" w:rsidRPr="00195D4D" w:rsidRDefault="00CA5B78" w:rsidP="00CA5B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Meslek lisesi için hazırlanan kitaplar  fen ve Anadolu liseleri için hazırlanan kitaplardan daha hafif seviyede olmalıdır.</w:t>
            </w:r>
          </w:p>
          <w:p w:rsidR="00F34563" w:rsidRDefault="00F34563" w:rsidP="009B501D"/>
          <w:p w:rsidR="00F34563" w:rsidRPr="009B501D" w:rsidRDefault="00F34563" w:rsidP="009B501D"/>
        </w:tc>
      </w:tr>
      <w:tr w:rsidR="00F34563" w:rsidRPr="00FB3A5B" w:rsidTr="00003C34">
        <w:trPr>
          <w:cantSplit/>
          <w:trHeight w:val="3455"/>
        </w:trPr>
        <w:tc>
          <w:tcPr>
            <w:tcW w:w="1705" w:type="dxa"/>
            <w:vMerge/>
            <w:vAlign w:val="center"/>
          </w:tcPr>
          <w:p w:rsidR="00F34563" w:rsidRDefault="00F34563" w:rsidP="00F34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0" w:type="dxa"/>
            <w:vMerge/>
          </w:tcPr>
          <w:p w:rsidR="00F34563" w:rsidRDefault="00F34563" w:rsidP="00F34563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3921" w:type="dxa"/>
          </w:tcPr>
          <w:p w:rsidR="00F34563" w:rsidRDefault="00F34563" w:rsidP="009B501D"/>
          <w:p w:rsidR="00F34563" w:rsidRDefault="00F34563" w:rsidP="009B501D"/>
          <w:p w:rsidR="00F34563" w:rsidRDefault="00F34563" w:rsidP="009B501D">
            <w:r>
              <w:rPr>
                <w:rFonts w:ascii="Helvetica-Bold" w:hAnsi="Helvetica-Bold" w:cs="Helvetica-Bold"/>
                <w:bCs/>
                <w:sz w:val="20"/>
                <w:szCs w:val="20"/>
              </w:rPr>
              <w:t>.</w:t>
            </w:r>
          </w:p>
        </w:tc>
      </w:tr>
      <w:tr w:rsidR="00A61FEC" w:rsidRPr="00FB3A5B" w:rsidTr="00003C34">
        <w:trPr>
          <w:cantSplit/>
          <w:trHeight w:val="1581"/>
        </w:trPr>
        <w:tc>
          <w:tcPr>
            <w:tcW w:w="1705" w:type="dxa"/>
            <w:vAlign w:val="center"/>
          </w:tcPr>
          <w:p w:rsidR="00F34563" w:rsidRPr="00FB3A5B" w:rsidRDefault="00003C34" w:rsidP="00CB5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11.SINIF TEMEL MATEMATİK</w:t>
            </w:r>
          </w:p>
        </w:tc>
        <w:tc>
          <w:tcPr>
            <w:tcW w:w="4690" w:type="dxa"/>
          </w:tcPr>
          <w:p w:rsidR="00A61FEC" w:rsidRDefault="00A61FEC" w:rsidP="00F34563"/>
          <w:p w:rsidR="005C7B03" w:rsidRDefault="005C7B03" w:rsidP="005C7B03">
            <w:pPr>
              <w:numPr>
                <w:ilvl w:val="0"/>
                <w:numId w:val="2"/>
              </w:numPr>
            </w:pPr>
            <w:r>
              <w:t>Diziler</w:t>
            </w:r>
            <w:r w:rsidR="004C52EB">
              <w:t xml:space="preserve"> konusu yeterli biçimde kitapta ele alınmıştır ancak meslek lisesi seviyesine uygun sorularla  basit seviyede anlatılması daha uygun olacaktır.</w:t>
            </w:r>
          </w:p>
          <w:p w:rsidR="005C7B03" w:rsidRDefault="005C7B03" w:rsidP="005C7B03">
            <w:pPr>
              <w:numPr>
                <w:ilvl w:val="0"/>
                <w:numId w:val="2"/>
              </w:numPr>
            </w:pPr>
            <w:r>
              <w:t>Bilinçli tüketici aritmetiği</w:t>
            </w:r>
          </w:p>
          <w:p w:rsidR="00003C34" w:rsidRDefault="004C52EB" w:rsidP="00003C34">
            <w:pPr>
              <w:ind w:left="720"/>
            </w:pPr>
            <w:r>
              <w:t>Uygun biçimde işlenmiş ve öğrenci kazanımlarına uygun örneklerle renklendirilmiştir.</w:t>
            </w:r>
          </w:p>
          <w:p w:rsidR="00003C34" w:rsidRPr="00532C1C" w:rsidRDefault="00003C34" w:rsidP="00003C34"/>
        </w:tc>
        <w:tc>
          <w:tcPr>
            <w:tcW w:w="3921" w:type="dxa"/>
          </w:tcPr>
          <w:p w:rsidR="00A61FEC" w:rsidRDefault="00A61FEC" w:rsidP="00515925"/>
          <w:p w:rsidR="00CA5B78" w:rsidRDefault="00CA5B78" w:rsidP="00CA5B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Yan tarafta belirtilen konu ağırlıkları her lise türü  için ayrı ayrı değerlendirilmeli ve ders kitaplarıda öğrenci seviyelerine göre çeşitlendirilmelidir.</w:t>
            </w:r>
          </w:p>
          <w:p w:rsidR="00CA5B78" w:rsidRPr="00195D4D" w:rsidRDefault="00CA5B78" w:rsidP="00CA5B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Meslek lisesi için hazırlanan kitaplar  fen ve Anadolu liseleri için hazırlanan kitaplardan daha hafif seviyede olmalıdır.</w:t>
            </w:r>
          </w:p>
          <w:p w:rsidR="00003C34" w:rsidRPr="00515925" w:rsidRDefault="00003C34" w:rsidP="00515925"/>
        </w:tc>
      </w:tr>
      <w:tr w:rsidR="00A61FEC" w:rsidRPr="00FB3A5B" w:rsidTr="00003C34">
        <w:trPr>
          <w:cantSplit/>
          <w:trHeight w:val="4456"/>
        </w:trPr>
        <w:tc>
          <w:tcPr>
            <w:tcW w:w="1705" w:type="dxa"/>
            <w:vAlign w:val="center"/>
          </w:tcPr>
          <w:p w:rsidR="00A61FEC" w:rsidRPr="00FB3A5B" w:rsidRDefault="00003C34" w:rsidP="00CB5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12.SINIF TEMEL MATEMATİK</w:t>
            </w:r>
          </w:p>
        </w:tc>
        <w:tc>
          <w:tcPr>
            <w:tcW w:w="4690" w:type="dxa"/>
          </w:tcPr>
          <w:p w:rsidR="00A61FEC" w:rsidRDefault="00A61FEC" w:rsidP="00FB3A5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03C34" w:rsidRDefault="00CA5B78" w:rsidP="00003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Üslü</w:t>
            </w:r>
            <w:r w:rsidR="00003C34">
              <w:rPr>
                <w:rFonts w:ascii="Calibri" w:hAnsi="Calibri" w:cs="Calibri"/>
                <w:iCs/>
              </w:rPr>
              <w:t xml:space="preserve"> ifade konusunun 12.temel düzey müfretatına alınması ve tekrar üslü sayı bilgisiyle birleşimi 12.sınıf öğrencisinin hazır bulunuşluluk düzeyine hitap etmesi açısından elzemdir.</w:t>
            </w:r>
          </w:p>
          <w:p w:rsidR="00003C34" w:rsidRPr="00F34563" w:rsidRDefault="00003C34" w:rsidP="00003C3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iCs/>
              </w:rPr>
            </w:pPr>
          </w:p>
          <w:p w:rsidR="00003C34" w:rsidRPr="00FB3A5B" w:rsidRDefault="00003C34" w:rsidP="00003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Grafik ve tablo yorumu  dik üçgen ve katı cisim hesaplamalarına devam edilmesi Meslek lisesi öğrencilerinin YGS ye yönelik başarılarını arttırmak için olumu birer pekiştireçtir.</w:t>
            </w:r>
          </w:p>
        </w:tc>
        <w:tc>
          <w:tcPr>
            <w:tcW w:w="3921" w:type="dxa"/>
          </w:tcPr>
          <w:p w:rsidR="00C16068" w:rsidRDefault="00C16068" w:rsidP="00FB3A5B">
            <w:pPr>
              <w:autoSpaceDE w:val="0"/>
              <w:autoSpaceDN w:val="0"/>
              <w:adjustRightInd w:val="0"/>
            </w:pPr>
          </w:p>
          <w:p w:rsidR="00003C34" w:rsidRDefault="00003C34" w:rsidP="00FB3A5B">
            <w:pPr>
              <w:autoSpaceDE w:val="0"/>
              <w:autoSpaceDN w:val="0"/>
              <w:adjustRightInd w:val="0"/>
            </w:pPr>
          </w:p>
          <w:p w:rsidR="00003C34" w:rsidRDefault="00003C34" w:rsidP="00FB3A5B">
            <w:pPr>
              <w:autoSpaceDE w:val="0"/>
              <w:autoSpaceDN w:val="0"/>
              <w:adjustRightInd w:val="0"/>
            </w:pPr>
          </w:p>
          <w:p w:rsidR="00003C34" w:rsidRDefault="00003C34" w:rsidP="00FB3A5B">
            <w:pPr>
              <w:autoSpaceDE w:val="0"/>
              <w:autoSpaceDN w:val="0"/>
              <w:adjustRightInd w:val="0"/>
            </w:pPr>
          </w:p>
          <w:p w:rsidR="00003C34" w:rsidRDefault="00003C34" w:rsidP="00FB3A5B">
            <w:pPr>
              <w:autoSpaceDE w:val="0"/>
              <w:autoSpaceDN w:val="0"/>
              <w:adjustRightInd w:val="0"/>
            </w:pPr>
          </w:p>
          <w:p w:rsidR="00CA5B78" w:rsidRDefault="00CA5B78" w:rsidP="00CA5B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195D4D">
              <w:rPr>
                <w:rFonts w:ascii="Calibri" w:hAnsi="Calibri" w:cs="Calibri"/>
                <w:bCs/>
              </w:rPr>
              <w:t xml:space="preserve">      </w:t>
            </w:r>
            <w:r>
              <w:rPr>
                <w:rFonts w:ascii="Calibri" w:hAnsi="Calibri" w:cs="Calibri"/>
                <w:bCs/>
              </w:rPr>
              <w:t>Yan tarafta belirtilen konu ağırlıkları her lise türü  için ayrı ayrı değerlendirilmeli ve ders kitaplarıda öğrenci seviyelerine göre çeşitlendirilmelidir.</w:t>
            </w:r>
          </w:p>
          <w:p w:rsidR="00CA5B78" w:rsidRPr="00195D4D" w:rsidRDefault="00CA5B78" w:rsidP="00CA5B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Meslek lisesi için hazırlanan kitaplar  fen ve Anadolu liseleri için hazırlanan kitaplardan daha hafif seviyede olmalıdır.</w:t>
            </w:r>
          </w:p>
          <w:p w:rsidR="00003C34" w:rsidRPr="00C84FCF" w:rsidRDefault="00003C34" w:rsidP="00FB3A5B">
            <w:pPr>
              <w:autoSpaceDE w:val="0"/>
              <w:autoSpaceDN w:val="0"/>
              <w:adjustRightInd w:val="0"/>
            </w:pPr>
          </w:p>
        </w:tc>
      </w:tr>
      <w:tr w:rsidR="00003C34" w:rsidRPr="00FB3A5B" w:rsidTr="00003C34">
        <w:trPr>
          <w:cantSplit/>
          <w:trHeight w:val="3604"/>
        </w:trPr>
        <w:tc>
          <w:tcPr>
            <w:tcW w:w="1705" w:type="dxa"/>
            <w:vAlign w:val="center"/>
          </w:tcPr>
          <w:p w:rsidR="00003C34" w:rsidRDefault="00003C34" w:rsidP="00CB5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PROGRAMIN </w:t>
            </w:r>
          </w:p>
          <w:p w:rsidR="00003C34" w:rsidRDefault="00003C34" w:rsidP="00CB5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 ESASLARI</w:t>
            </w:r>
          </w:p>
        </w:tc>
        <w:tc>
          <w:tcPr>
            <w:tcW w:w="4690" w:type="dxa"/>
          </w:tcPr>
          <w:p w:rsidR="00003C34" w:rsidRPr="00003C34" w:rsidRDefault="00003C34" w:rsidP="00003C3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  <w:p w:rsidR="00003C34" w:rsidRDefault="00003C34" w:rsidP="00003C34">
            <w:pPr>
              <w:numPr>
                <w:ilvl w:val="0"/>
                <w:numId w:val="2"/>
              </w:numPr>
              <w:tabs>
                <w:tab w:val="left" w:pos="127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Y</w:t>
            </w:r>
            <w:r w:rsidRPr="00003C34">
              <w:rPr>
                <w:rFonts w:ascii="Calibri" w:hAnsi="Calibri" w:cs="Calibri"/>
              </w:rPr>
              <w:t>aklaşık 2-3 aylık bir zaman dilimde 6 saatlik Matematik dersi Cebirsel düşünmeye ağırlık vermekte şekil -uzay zeka algısını temel alan Geometri dersinden uzaklaştırmaktadır.Öğrenci Geometrik şekli içerikli soruları ayrı bir ders</w:t>
            </w:r>
            <w:r w:rsidR="00195D4D">
              <w:rPr>
                <w:rFonts w:ascii="Calibri" w:hAnsi="Calibri" w:cs="Calibri"/>
              </w:rPr>
              <w:t xml:space="preserve"> gözlemlerime göre özellikle Meslek liseleri öğrencileri bunu</w:t>
            </w:r>
            <w:r w:rsidRPr="00003C34">
              <w:rPr>
                <w:rFonts w:ascii="Calibri" w:hAnsi="Calibri" w:cs="Calibri"/>
              </w:rPr>
              <w:t xml:space="preserve"> zamanı gelince değinilecek</w:t>
            </w:r>
            <w:r w:rsidR="00195D4D">
              <w:rPr>
                <w:rFonts w:ascii="Calibri" w:hAnsi="Calibri" w:cs="Calibri"/>
              </w:rPr>
              <w:t xml:space="preserve"> ayrı bir durumsallık </w:t>
            </w:r>
            <w:r w:rsidRPr="00003C34">
              <w:rPr>
                <w:rFonts w:ascii="Calibri" w:hAnsi="Calibri" w:cs="Calibri"/>
              </w:rPr>
              <w:t>olarak düşünmektedir.</w:t>
            </w:r>
          </w:p>
          <w:p w:rsidR="00195D4D" w:rsidRPr="00003C34" w:rsidRDefault="00195D4D" w:rsidP="00195D4D">
            <w:pPr>
              <w:tabs>
                <w:tab w:val="left" w:pos="1276"/>
              </w:tabs>
              <w:ind w:left="720"/>
              <w:rPr>
                <w:rFonts w:ascii="Calibri" w:hAnsi="Calibri" w:cs="Calibri"/>
              </w:rPr>
            </w:pPr>
          </w:p>
          <w:p w:rsidR="00003C34" w:rsidRPr="00003C34" w:rsidRDefault="00003C34" w:rsidP="00003C34">
            <w:pPr>
              <w:numPr>
                <w:ilvl w:val="0"/>
                <w:numId w:val="2"/>
              </w:numPr>
              <w:tabs>
                <w:tab w:val="left" w:pos="1276"/>
              </w:tabs>
              <w:rPr>
                <w:rFonts w:ascii="Calibri" w:hAnsi="Calibri" w:cs="Calibri"/>
              </w:rPr>
            </w:pPr>
            <w:r w:rsidRPr="00003C34">
              <w:rPr>
                <w:rFonts w:ascii="Calibri" w:hAnsi="Calibri" w:cs="Calibri"/>
              </w:rPr>
              <w:t>Ardından benzer yaklaşık 2 aylık zaman döngüsü Geometriye yoğunlaşırken Cebirsel durumlardan uzaklaşmak olarak kendini göstermektedir.</w:t>
            </w:r>
            <w:r w:rsidR="00CA5B78">
              <w:rPr>
                <w:rFonts w:ascii="Calibri" w:hAnsi="Calibri" w:cs="Calibri"/>
              </w:rPr>
              <w:t>TYT</w:t>
            </w:r>
            <w:r w:rsidRPr="00003C34">
              <w:rPr>
                <w:rFonts w:ascii="Calibri" w:hAnsi="Calibri" w:cs="Calibri"/>
              </w:rPr>
              <w:t xml:space="preserve"> benzeri sınavlarda aynı anda bu tür sorularla karşılaşan meslek lisesi öğrencileri cebir ve geometride  dengeli bir başarı göstermekte zorlanmaktadır</w:t>
            </w:r>
          </w:p>
          <w:p w:rsidR="00003C34" w:rsidRDefault="00003C34" w:rsidP="00003C34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  <w:p w:rsidR="00003C34" w:rsidRDefault="00003C34" w:rsidP="00003C34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  <w:tc>
          <w:tcPr>
            <w:tcW w:w="3921" w:type="dxa"/>
          </w:tcPr>
          <w:p w:rsidR="00003C34" w:rsidRDefault="00003C34" w:rsidP="00FB3A5B">
            <w:pPr>
              <w:autoSpaceDE w:val="0"/>
              <w:autoSpaceDN w:val="0"/>
              <w:adjustRightInd w:val="0"/>
            </w:pPr>
          </w:p>
          <w:p w:rsidR="00003C34" w:rsidRPr="00003C34" w:rsidRDefault="00003C34" w:rsidP="00003C34"/>
          <w:p w:rsidR="00003C34" w:rsidRPr="00003C34" w:rsidRDefault="00003C34" w:rsidP="00003C34"/>
          <w:p w:rsidR="00003C34" w:rsidRPr="00003C34" w:rsidRDefault="00003C34" w:rsidP="00003C34"/>
          <w:p w:rsidR="00CA5B78" w:rsidRDefault="00CA5B78" w:rsidP="00CA5B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195D4D">
              <w:rPr>
                <w:rFonts w:ascii="Calibri" w:hAnsi="Calibri" w:cs="Calibri"/>
                <w:bCs/>
              </w:rPr>
              <w:t xml:space="preserve">      </w:t>
            </w:r>
            <w:r>
              <w:rPr>
                <w:rFonts w:ascii="Calibri" w:hAnsi="Calibri" w:cs="Calibri"/>
                <w:bCs/>
              </w:rPr>
              <w:t>Yan tarafta belirtilen konu ağırlıkları her lise türü  için ayrı ayrı değerlendirilmeli ve ders kitaplarıda öğrenci seviyelerine göre çeşitlendirilmelidir.</w:t>
            </w:r>
          </w:p>
          <w:p w:rsidR="00CA5B78" w:rsidRPr="00195D4D" w:rsidRDefault="00CA5B78" w:rsidP="00CA5B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Meslek lisesi için hazırlanan kitaplar  fen ve Anadolu liseleri için hazırlanan kitaplardan daha hafif seviyede olmalıdır.</w:t>
            </w:r>
          </w:p>
          <w:p w:rsidR="00003C34" w:rsidRPr="00003C34" w:rsidRDefault="00003C34" w:rsidP="00CA5B78"/>
        </w:tc>
      </w:tr>
    </w:tbl>
    <w:p w:rsidR="00003C34" w:rsidRDefault="00003C34" w:rsidP="004C52EB">
      <w:pPr>
        <w:tabs>
          <w:tab w:val="left" w:pos="1620"/>
        </w:tabs>
        <w:rPr>
          <w:b/>
        </w:rPr>
      </w:pPr>
    </w:p>
    <w:p w:rsidR="004C52EB" w:rsidRDefault="004C52EB" w:rsidP="004C52EB">
      <w:pPr>
        <w:tabs>
          <w:tab w:val="left" w:pos="1620"/>
        </w:tabs>
        <w:rPr>
          <w:b/>
        </w:rPr>
      </w:pPr>
    </w:p>
    <w:p w:rsidR="004C52EB" w:rsidRDefault="004C52EB" w:rsidP="004C52EB">
      <w:pPr>
        <w:tabs>
          <w:tab w:val="left" w:pos="1620"/>
        </w:tabs>
        <w:rPr>
          <w:b/>
        </w:rPr>
      </w:pPr>
    </w:p>
    <w:p w:rsidR="004C52EB" w:rsidRDefault="004C52EB" w:rsidP="004C52EB">
      <w:pPr>
        <w:tabs>
          <w:tab w:val="left" w:pos="1620"/>
        </w:tabs>
        <w:rPr>
          <w:b/>
        </w:rPr>
      </w:pPr>
    </w:p>
    <w:p w:rsidR="004C52EB" w:rsidRDefault="004C52EB" w:rsidP="004C52EB">
      <w:pPr>
        <w:tabs>
          <w:tab w:val="left" w:pos="1620"/>
        </w:tabs>
      </w:pPr>
      <w:r>
        <w:t xml:space="preserve">          Matematik Öğretmeni      Matematik Öğretmeni       Matematik Öğretmeni     Matematik Öğretmeni</w:t>
      </w:r>
    </w:p>
    <w:p w:rsidR="00CA5B78" w:rsidRDefault="00CA5B78" w:rsidP="00003C34">
      <w:pPr>
        <w:tabs>
          <w:tab w:val="left" w:pos="1620"/>
        </w:tabs>
        <w:jc w:val="center"/>
      </w:pPr>
    </w:p>
    <w:p w:rsidR="00CA5B78" w:rsidRDefault="00CA5B78" w:rsidP="00003C34">
      <w:pPr>
        <w:tabs>
          <w:tab w:val="left" w:pos="1620"/>
        </w:tabs>
        <w:jc w:val="center"/>
      </w:pPr>
    </w:p>
    <w:p w:rsidR="00CA5B78" w:rsidRDefault="00CA5B78" w:rsidP="004C52EB">
      <w:pPr>
        <w:tabs>
          <w:tab w:val="left" w:pos="1620"/>
        </w:tabs>
      </w:pPr>
    </w:p>
    <w:p w:rsidR="00003C34" w:rsidRDefault="00003C34" w:rsidP="00003C34">
      <w:pPr>
        <w:tabs>
          <w:tab w:val="left" w:pos="1620"/>
        </w:tabs>
        <w:jc w:val="center"/>
      </w:pPr>
    </w:p>
    <w:p w:rsidR="00195D4D" w:rsidRDefault="00003C34" w:rsidP="00CA5B78">
      <w:pPr>
        <w:tabs>
          <w:tab w:val="left" w:pos="1620"/>
        </w:tabs>
        <w:jc w:val="center"/>
      </w:pPr>
      <w:r>
        <w:t>UYGUNDUR</w:t>
      </w:r>
    </w:p>
    <w:p w:rsidR="0070049F" w:rsidRPr="00C95AC7" w:rsidRDefault="00003C34" w:rsidP="00C95AC7">
      <w:pPr>
        <w:tabs>
          <w:tab w:val="left" w:pos="1620"/>
        </w:tabs>
        <w:jc w:val="center"/>
      </w:pPr>
      <w:r>
        <w:t>OKUL MÜDÜR</w:t>
      </w:r>
      <w:r w:rsidR="004C52EB">
        <w:t>Ü</w:t>
      </w:r>
    </w:p>
    <w:sectPr w:rsidR="0070049F" w:rsidRPr="00C95AC7" w:rsidSect="00645A6F">
      <w:pgSz w:w="11906" w:h="16838" w:code="9"/>
      <w:pgMar w:top="567" w:right="567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27" w:rsidRDefault="00FE1427" w:rsidP="00003C34">
      <w:r>
        <w:separator/>
      </w:r>
    </w:p>
  </w:endnote>
  <w:endnote w:type="continuationSeparator" w:id="1">
    <w:p w:rsidR="00FE1427" w:rsidRDefault="00FE1427" w:rsidP="00003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27" w:rsidRDefault="00FE1427" w:rsidP="00003C34">
      <w:r>
        <w:separator/>
      </w:r>
    </w:p>
  </w:footnote>
  <w:footnote w:type="continuationSeparator" w:id="1">
    <w:p w:rsidR="00FE1427" w:rsidRDefault="00FE1427" w:rsidP="00003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E2A"/>
    <w:multiLevelType w:val="hybridMultilevel"/>
    <w:tmpl w:val="10B8B4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13802"/>
    <w:multiLevelType w:val="hybridMultilevel"/>
    <w:tmpl w:val="60C49B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11630"/>
    <w:rsid w:val="00003C34"/>
    <w:rsid w:val="00013A9C"/>
    <w:rsid w:val="00044855"/>
    <w:rsid w:val="00065FD1"/>
    <w:rsid w:val="00067826"/>
    <w:rsid w:val="00083063"/>
    <w:rsid w:val="000A65C5"/>
    <w:rsid w:val="000E1A5E"/>
    <w:rsid w:val="000E4CEE"/>
    <w:rsid w:val="001072A2"/>
    <w:rsid w:val="00175C34"/>
    <w:rsid w:val="00195D4D"/>
    <w:rsid w:val="001B34C5"/>
    <w:rsid w:val="00262037"/>
    <w:rsid w:val="002A245F"/>
    <w:rsid w:val="002B55B4"/>
    <w:rsid w:val="0037320B"/>
    <w:rsid w:val="00395CB8"/>
    <w:rsid w:val="00396BDD"/>
    <w:rsid w:val="003B1E43"/>
    <w:rsid w:val="00412B5E"/>
    <w:rsid w:val="004B64DE"/>
    <w:rsid w:val="004C52EB"/>
    <w:rsid w:val="004E31CE"/>
    <w:rsid w:val="00515925"/>
    <w:rsid w:val="00527950"/>
    <w:rsid w:val="00532C1C"/>
    <w:rsid w:val="005379C3"/>
    <w:rsid w:val="005C0F11"/>
    <w:rsid w:val="005C3A5D"/>
    <w:rsid w:val="005C7B03"/>
    <w:rsid w:val="00602828"/>
    <w:rsid w:val="0064099D"/>
    <w:rsid w:val="00645A6F"/>
    <w:rsid w:val="006627AD"/>
    <w:rsid w:val="00674A2F"/>
    <w:rsid w:val="006C2BEA"/>
    <w:rsid w:val="006F6B8B"/>
    <w:rsid w:val="0070049F"/>
    <w:rsid w:val="00704905"/>
    <w:rsid w:val="00740536"/>
    <w:rsid w:val="00797D5D"/>
    <w:rsid w:val="007B55A2"/>
    <w:rsid w:val="007D2AA0"/>
    <w:rsid w:val="00802AFD"/>
    <w:rsid w:val="0082702D"/>
    <w:rsid w:val="00827C84"/>
    <w:rsid w:val="008D4BB3"/>
    <w:rsid w:val="00901364"/>
    <w:rsid w:val="00914036"/>
    <w:rsid w:val="0091564F"/>
    <w:rsid w:val="00964B74"/>
    <w:rsid w:val="00991CA9"/>
    <w:rsid w:val="009B501D"/>
    <w:rsid w:val="009C399F"/>
    <w:rsid w:val="009C715B"/>
    <w:rsid w:val="009E33FC"/>
    <w:rsid w:val="009E7505"/>
    <w:rsid w:val="009F6DEF"/>
    <w:rsid w:val="00A46205"/>
    <w:rsid w:val="00A61FEC"/>
    <w:rsid w:val="00A77355"/>
    <w:rsid w:val="00AA7281"/>
    <w:rsid w:val="00B11630"/>
    <w:rsid w:val="00B54B2A"/>
    <w:rsid w:val="00B60711"/>
    <w:rsid w:val="00B66A5A"/>
    <w:rsid w:val="00B92B58"/>
    <w:rsid w:val="00BE65B3"/>
    <w:rsid w:val="00C04AB8"/>
    <w:rsid w:val="00C16068"/>
    <w:rsid w:val="00C3747C"/>
    <w:rsid w:val="00C606D6"/>
    <w:rsid w:val="00C60E29"/>
    <w:rsid w:val="00C84FCF"/>
    <w:rsid w:val="00C94EDD"/>
    <w:rsid w:val="00C95AC7"/>
    <w:rsid w:val="00CA5B78"/>
    <w:rsid w:val="00CB5B6A"/>
    <w:rsid w:val="00CF3EFE"/>
    <w:rsid w:val="00D03721"/>
    <w:rsid w:val="00D5212C"/>
    <w:rsid w:val="00D77E42"/>
    <w:rsid w:val="00D808F2"/>
    <w:rsid w:val="00D928D7"/>
    <w:rsid w:val="00DA1DA4"/>
    <w:rsid w:val="00E32F78"/>
    <w:rsid w:val="00EB0434"/>
    <w:rsid w:val="00EB691C"/>
    <w:rsid w:val="00EB6CC9"/>
    <w:rsid w:val="00EC17A2"/>
    <w:rsid w:val="00EC2B5F"/>
    <w:rsid w:val="00EC65FE"/>
    <w:rsid w:val="00ED1882"/>
    <w:rsid w:val="00ED202C"/>
    <w:rsid w:val="00ED3A3D"/>
    <w:rsid w:val="00ED552B"/>
    <w:rsid w:val="00F34563"/>
    <w:rsid w:val="00FB3A5B"/>
    <w:rsid w:val="00FE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630"/>
    <w:rPr>
      <w:sz w:val="24"/>
      <w:szCs w:val="24"/>
    </w:rPr>
  </w:style>
  <w:style w:type="paragraph" w:styleId="Balk1">
    <w:name w:val="heading 1"/>
    <w:basedOn w:val="Normal"/>
    <w:next w:val="Normal"/>
    <w:qFormat/>
    <w:rsid w:val="00EC65FE"/>
    <w:pPr>
      <w:keepNext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qFormat/>
    <w:rsid w:val="00EC65FE"/>
    <w:pPr>
      <w:keepNext/>
      <w:jc w:val="right"/>
      <w:outlineLvl w:val="1"/>
    </w:pPr>
    <w:rPr>
      <w:b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11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EC65FE"/>
    <w:rPr>
      <w:b/>
      <w:sz w:val="28"/>
      <w:szCs w:val="28"/>
    </w:rPr>
  </w:style>
  <w:style w:type="paragraph" w:styleId="GvdeMetni2">
    <w:name w:val="Body Text 2"/>
    <w:basedOn w:val="Normal"/>
    <w:rsid w:val="00EC65FE"/>
    <w:pPr>
      <w:jc w:val="both"/>
    </w:pPr>
    <w:rPr>
      <w:bCs/>
      <w:sz w:val="28"/>
      <w:szCs w:val="28"/>
    </w:rPr>
  </w:style>
  <w:style w:type="character" w:styleId="Gl">
    <w:name w:val="Strong"/>
    <w:uiPriority w:val="22"/>
    <w:qFormat/>
    <w:rsid w:val="00602828"/>
    <w:rPr>
      <w:b/>
      <w:bCs/>
    </w:rPr>
  </w:style>
  <w:style w:type="character" w:styleId="Kpr">
    <w:name w:val="Hyperlink"/>
    <w:rsid w:val="004B64DE"/>
    <w:rPr>
      <w:color w:val="0000FF"/>
      <w:u w:val="single"/>
    </w:rPr>
  </w:style>
  <w:style w:type="paragraph" w:styleId="stbilgi">
    <w:name w:val="header"/>
    <w:basedOn w:val="Normal"/>
    <w:link w:val="stbilgiChar"/>
    <w:rsid w:val="00003C34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rsid w:val="00003C34"/>
    <w:rPr>
      <w:sz w:val="24"/>
      <w:szCs w:val="24"/>
    </w:rPr>
  </w:style>
  <w:style w:type="paragraph" w:styleId="Altbilgi">
    <w:name w:val="footer"/>
    <w:basedOn w:val="Normal"/>
    <w:link w:val="AltbilgiChar"/>
    <w:rsid w:val="00003C34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rsid w:val="00003C34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C7B0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EAF2-CF53-488D-BF0E-83245FD5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HPO</cp:lastModifiedBy>
  <cp:revision>3</cp:revision>
  <cp:lastPrinted>2018-01-18T07:40:00Z</cp:lastPrinted>
  <dcterms:created xsi:type="dcterms:W3CDTF">2018-01-18T07:44:00Z</dcterms:created>
  <dcterms:modified xsi:type="dcterms:W3CDTF">2018-01-18T07:45:00Z</dcterms:modified>
  <cp:category>www.sorubak.com</cp:category>
</cp:coreProperties>
</file>